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039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2013"/>
        <w:gridCol w:w="1930"/>
        <w:gridCol w:w="2956"/>
        <w:gridCol w:w="268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3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  <w:jc w:val="center"/>
        </w:trPr>
        <w:tc>
          <w:tcPr>
            <w:tcW w:w="10391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2021年学位授权自主审核单位撤销的学位授权点名单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撤销学位点代码</w:t>
            </w:r>
          </w:p>
        </w:tc>
        <w:tc>
          <w:tcPr>
            <w:tcW w:w="2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撤销学位点名称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撤销学位点类型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中国人民大学</w:t>
            </w:r>
          </w:p>
        </w:tc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0705</w:t>
            </w:r>
          </w:p>
        </w:tc>
        <w:tc>
          <w:tcPr>
            <w:tcW w:w="2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地理学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硕士学位授权一级学科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北京师范大学</w:t>
            </w:r>
          </w:p>
        </w:tc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0837</w:t>
            </w:r>
          </w:p>
        </w:tc>
        <w:tc>
          <w:tcPr>
            <w:tcW w:w="2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安全科学与工程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硕士学位授权一级学科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中国科学院大学</w:t>
            </w:r>
          </w:p>
        </w:tc>
        <w:tc>
          <w:tcPr>
            <w:tcW w:w="1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020106</w:t>
            </w:r>
          </w:p>
        </w:tc>
        <w:tc>
          <w:tcPr>
            <w:tcW w:w="2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人口、资源与环境经济学</w:t>
            </w:r>
          </w:p>
        </w:tc>
        <w:tc>
          <w:tcPr>
            <w:tcW w:w="2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简体" w:hAnsi="方正仿宋简体" w:eastAsia="方正仿宋简体" w:cs="方正仿宋简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简体" w:hAnsi="方正仿宋简体" w:eastAsia="方正仿宋简体" w:cs="方正仿宋简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硕士学位授权二级学科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33192D6-8262-429C-9908-F4B908C658A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0312423-41DA-429C-8FC5-6DE4122076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9DEDCCA-1F5A-432C-A06D-F5B25A07128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A200FEA-3E9C-446E-A5F3-CD3D14DE054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D1D9BB7-3713-4B95-88E4-FFB3945B6069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DB696251-2A9D-495B-9F7A-E41BF9DD9A29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4B0DBAAB-7C10-46B5-AC49-31A9B2AB58D7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C8F7746A-5C1A-4EA1-A5D8-D214F3376E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634E8B"/>
    <w:rsid w:val="68961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2022-06-21T10:32:00Z</dcterms:created>
  <dc:creator>admin</dc:creator>
  <cp:lastModifiedBy>研究生司</cp:lastModifiedBy>
  <dcterms:modified xsi:type="dcterms:W3CDTF">2022-06-29T10:29:30Z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485158620_embed</vt:lpwstr>
  </property>
</Properties>
</file>