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spacing w:line="600" w:lineRule="exact"/>
        <w:jc w:val="left"/>
        <w:textAlignment w:val="auto"/>
        <w:rPr>
          <w:rFonts w:hint="default" w:ascii="Times New Roman" w:hAnsi="Times New Roman" w:eastAsia="方正小标宋简体" w:cs="Times New Roman"/>
          <w:color w:val="000000" w:themeColor="text1"/>
          <w:sz w:val="30"/>
          <w:szCs w:val="30"/>
          <w14:textFill>
            <w14:solidFill>
              <w14:schemeClr w14:val="tx1"/>
            </w14:solidFill>
          </w14:textFill>
        </w:rPr>
      </w:pPr>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default" w:ascii="Times New Roman" w:hAnsi="Times New Roman" w:eastAsia="方正小标宋简体" w:cs="Times New Roman"/>
          <w:color w:val="000000" w:themeColor="text1"/>
          <w:sz w:val="30"/>
          <w:szCs w:val="30"/>
          <w14:textFill>
            <w14:solidFill>
              <w14:schemeClr w14:val="tx1"/>
            </w14:solidFill>
          </w14:textFill>
        </w:rPr>
        <w:t>1</w:t>
      </w:r>
    </w:p>
    <w:p>
      <w:pPr>
        <w:keepNext w:val="0"/>
        <w:keepLines w:val="0"/>
        <w:pageBreakBefore w:val="0"/>
        <w:kinsoku/>
        <w:topLinePunct w:val="0"/>
        <w:bidi w:val="0"/>
        <w:spacing w:line="600" w:lineRule="exact"/>
        <w:jc w:val="left"/>
        <w:textAlignment w:val="auto"/>
        <w:rPr>
          <w:rFonts w:ascii="方正小标宋简体" w:eastAsia="方正小标宋简体" w:hAnsiTheme="minorHAnsi" w:cstheme="minorBidi"/>
          <w:color w:val="000000" w:themeColor="text1"/>
          <w:sz w:val="36"/>
          <w:szCs w:val="36"/>
          <w14:textFill>
            <w14:solidFill>
              <w14:schemeClr w14:val="tx1"/>
            </w14:solidFill>
          </w14:textFill>
        </w:rPr>
      </w:pPr>
    </w:p>
    <w:p>
      <w:pPr>
        <w:keepNext w:val="0"/>
        <w:keepLines w:val="0"/>
        <w:pageBreakBefore w:val="0"/>
        <w:kinsoku/>
        <w:topLinePunct w:val="0"/>
        <w:bidi w:val="0"/>
        <w:spacing w:line="600" w:lineRule="exact"/>
        <w:jc w:val="center"/>
        <w:textAlignment w:val="auto"/>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第五届全国大学生网络文化节工作方案</w:t>
      </w:r>
    </w:p>
    <w:p>
      <w:pPr>
        <w:keepNext w:val="0"/>
        <w:keepLines w:val="0"/>
        <w:pageBreakBefore w:val="0"/>
        <w:kinsoku/>
        <w:topLinePunct w:val="0"/>
        <w:bidi w:val="0"/>
        <w:spacing w:line="600" w:lineRule="exact"/>
        <w:jc w:val="center"/>
        <w:textAlignment w:val="auto"/>
        <w:rPr>
          <w:rFonts w:ascii="仿宋_GB2312" w:hAnsi="Times New Roman" w:eastAsia="仿宋_GB2312" w:cs="Times New Roman"/>
          <w:sz w:val="30"/>
          <w:szCs w:val="30"/>
        </w:rPr>
      </w:pP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五中</w:t>
      </w:r>
      <w:r>
        <w:rPr>
          <w:rFonts w:hint="eastAsia" w:ascii="仿宋_GB2312" w:hAnsi="Times New Roman" w:eastAsia="仿宋_GB2312" w:cs="Times New Roman"/>
          <w:sz w:val="32"/>
          <w:szCs w:val="32"/>
        </w:rPr>
        <w:t>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日至提交截止日期间在网络上发表的作品。征集时间为2020年1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日至2021年3月12日。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dxs.moe.gov.cn/whj/shipin</w:t>
      </w:r>
    </w:p>
    <w:p>
      <w:pPr>
        <w:keepNext w:val="0"/>
        <w:keepLines w:val="0"/>
        <w:pageBreakBefore w:val="0"/>
        <w:kinsoku/>
        <w:wordWrap w:val="0"/>
        <w:topLinePunct w:val="0"/>
        <w:bidi w:val="0"/>
        <w:spacing w:line="600" w:lineRule="exact"/>
        <w:ind w:firstLine="640" w:firstLineChars="200"/>
        <w:textAlignment w:val="auto"/>
        <w:rPr>
          <w:rFonts w:hint="eastAsia" w:ascii="楷体_GB2312" w:hAnsi="Times New Roman" w:eastAsia="楷体_GB2312" w:cs="Times New Roman"/>
          <w:b/>
          <w:bCs/>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石  悦，010-58582163，wa</w:t>
      </w:r>
      <w:r>
        <w:rPr>
          <w:rFonts w:ascii="Times New Roman" w:hAnsi="Times New Roman" w:eastAsia="仿宋" w:cs="Times New Roman"/>
          <w:sz w:val="32"/>
          <w:szCs w:val="32"/>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pStyle w:val="29"/>
        <w:keepNext w:val="0"/>
        <w:keepLines w:val="0"/>
        <w:pageBreakBefore w:val="0"/>
        <w:kinsoku/>
        <w:wordWrap w:val="0"/>
        <w:topLinePunct w:val="0"/>
        <w:bidi w:val="0"/>
        <w:spacing w:line="600" w:lineRule="exact"/>
        <w:ind w:firstLine="643"/>
        <w:textAlignment w:val="auto"/>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活动由文汇报社承办。活动网址：</w:t>
      </w:r>
      <w:r>
        <w:rPr>
          <w:rFonts w:ascii="Times New Roman" w:hAnsi="Times New Roman" w:eastAsia="仿宋_GB2312" w:cs="Times New Roman"/>
          <w:sz w:val="32"/>
          <w:szCs w:val="32"/>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人：陈云峰，</w:t>
      </w:r>
      <w:r>
        <w:rPr>
          <w:rFonts w:hint="eastAsia" w:ascii="Times New Roman" w:hAnsi="Times New Roman" w:eastAsia="仿宋_GB2312" w:cs="Times New Roman"/>
          <w:sz w:val="32"/>
          <w:szCs w:val="32"/>
        </w:rPr>
        <w:t>021-22898857，</w:t>
      </w:r>
      <w:r>
        <w:rPr>
          <w:rFonts w:ascii="Times New Roman" w:hAnsi="Times New Roman" w:eastAsia="仿宋_GB2312" w:cs="Times New Roman"/>
          <w:sz w:val="32"/>
          <w:szCs w:val="32"/>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祁  骏，</w:t>
      </w:r>
      <w:r>
        <w:rPr>
          <w:rFonts w:ascii="Times New Roman" w:hAnsi="Times New Roman" w:eastAsia="仿宋_GB2312" w:cs="Times New Roman"/>
          <w:sz w:val="32"/>
          <w:szCs w:val="32"/>
        </w:rPr>
        <w:t>021-22898856</w:t>
      </w:r>
      <w:r>
        <w:rPr>
          <w:rFonts w:hint="eastAsia" w:ascii="Times New Roman" w:hAnsi="Times New Roman" w:eastAsia="仿宋_GB2312" w:cs="Times New Roman"/>
          <w:sz w:val="32"/>
          <w:szCs w:val="32"/>
        </w:rPr>
        <w:t>，</w:t>
      </w:r>
      <w:r>
        <w:fldChar w:fldCharType="begin"/>
      </w:r>
      <w:r>
        <w:instrText xml:space="preserve"> HYPERLINK "mailto:qijun@whb.cn" </w:instrText>
      </w:r>
      <w:r>
        <w:fldChar w:fldCharType="separate"/>
      </w:r>
      <w:r>
        <w:rPr>
          <w:rFonts w:ascii="Times New Roman" w:hAnsi="Times New Roman" w:eastAsia="仿宋_GB2312" w:cs="Times New Roman"/>
          <w:sz w:val="32"/>
          <w:szCs w:val="32"/>
        </w:rPr>
        <w:t>qijun@whb.cn</w:t>
      </w:r>
      <w:r>
        <w:rPr>
          <w:rFonts w:ascii="Times New Roman" w:hAnsi="Times New Roman" w:eastAsia="仿宋_GB2312" w:cs="Times New Roman"/>
          <w:sz w:val="32"/>
          <w:szCs w:val="32"/>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幅（组），各省（区、市）教育工作部门可推荐作品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幅（组）。每幅（组）作品作者限1人，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dxs.moe.gov.cn/photo</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联系人</w:t>
      </w:r>
      <w:r>
        <w:rPr>
          <w:rFonts w:hint="eastAsia" w:ascii="Times New Roman" w:hAnsi="Times New Roman" w:eastAsia="仿宋_GB2312" w:cs="Times New Roman"/>
          <w:sz w:val="32"/>
          <w:szCs w:val="32"/>
        </w:rPr>
        <w:t>：杨 虹，010-58582212，w</w:t>
      </w:r>
      <w:r>
        <w:rPr>
          <w:rFonts w:ascii="Times New Roman" w:hAnsi="Times New Roman" w:eastAsia="仿宋" w:cs="Times New Roman"/>
          <w:sz w:val="32"/>
          <w:szCs w:val="32"/>
        </w:rPr>
        <w:t>angluowenhuajiesy@163.com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widowControl/>
        <w:shd w:val="clear" w:color="auto" w:fill="FFFFFF"/>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rPr>
        <w:t>：</w:t>
      </w:r>
      <w:r>
        <w:rPr>
          <w:rFonts w:ascii="Times New Roman" w:hAnsi="Times New Roman" w:eastAsia="仿宋_GB2312" w:cs="Times New Roman"/>
          <w:sz w:val="32"/>
          <w:szCs w:val="32"/>
        </w:rPr>
        <w:t>dxs.moe.gov.cn/whj/wangwen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w:t>
      </w:r>
      <w:r>
        <w:rPr>
          <w:rFonts w:ascii="Times New Roman" w:hAnsi="Times New Roman" w:eastAsia="仿宋" w:cs="Times New Roman"/>
          <w:sz w:val="32"/>
          <w:szCs w:val="32"/>
        </w:rPr>
        <w:t>ngluowenhuajieww@163.com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rPr>
      </w:pPr>
      <w:r>
        <w:rPr>
          <w:rFonts w:hint="eastAsia" w:ascii="Times New Roman" w:hAnsi="Times New Roman" w:eastAsia="仿宋_GB2312" w:cs="Times New Roman"/>
          <w:b/>
          <w:sz w:val="32"/>
          <w:szCs w:val="32"/>
        </w:rPr>
        <w:t>作品数量：</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可推荐平面作品</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0件、</w:t>
      </w:r>
      <w:r>
        <w:rPr>
          <w:rFonts w:hint="eastAsia" w:ascii="仿宋_GB2312" w:hAnsi="Times New Roman" w:eastAsia="仿宋_GB2312" w:cs="Times New Roman"/>
          <w:sz w:val="32"/>
          <w:szCs w:val="32"/>
        </w:rPr>
        <w:t>视频作品</w:t>
      </w:r>
      <w:r>
        <w:rPr>
          <w:rFonts w:hint="eastAsia" w:ascii="Times New Roman" w:hAnsi="Times New Roman" w:eastAsia="仿宋" w:cs="Times New Roman"/>
          <w:sz w:val="32"/>
          <w:szCs w:val="32"/>
        </w:rPr>
        <w:t>1</w:t>
      </w:r>
      <w:r>
        <w:rPr>
          <w:rFonts w:ascii="Times New Roman" w:hAnsi="Times New Roman" w:eastAsia="仿宋" w:cs="Times New Roman"/>
          <w:sz w:val="32"/>
          <w:szCs w:val="32"/>
        </w:rPr>
        <w:t>0</w:t>
      </w:r>
      <w:r>
        <w:rPr>
          <w:rFonts w:hint="eastAsia" w:ascii="仿宋_GB2312" w:hAnsi="Times New Roman" w:eastAsia="仿宋_GB2312" w:cs="Times New Roman"/>
          <w:sz w:val="32"/>
          <w:szCs w:val="32"/>
        </w:rPr>
        <w:t>件，各省（区、市）教育工作部门可推荐平面作品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件、视频作品</w:t>
      </w:r>
      <w:r>
        <w:rPr>
          <w:rFonts w:ascii="Times New Roman" w:hAnsi="Times New Roman" w:eastAsia="仿宋" w:cs="Times New Roman"/>
          <w:sz w:val="32"/>
          <w:szCs w:val="32"/>
        </w:rPr>
        <w:t>30</w:t>
      </w:r>
      <w:r>
        <w:rPr>
          <w:rFonts w:ascii="仿宋_GB2312" w:hAnsi="Times New Roman" w:eastAsia="仿宋_GB2312" w:cs="Times New Roman"/>
          <w:sz w:val="32"/>
          <w:szCs w:val="32"/>
        </w:rPr>
        <w:t>件</w:t>
      </w:r>
      <w:r>
        <w:rPr>
          <w:rFonts w:ascii="Times New Roman" w:hAnsi="Times New Roman" w:eastAsia="仿宋"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活动网址：</w:t>
      </w:r>
      <w:r>
        <w:rPr>
          <w:rFonts w:ascii="Times New Roman" w:hAnsi="Times New Roman" w:eastAsia="仿宋_GB2312" w:cs="Times New Roman"/>
          <w:sz w:val="32"/>
          <w:szCs w:val="32"/>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rFonts w:ascii="仿宋_GB2312" w:eastAsia="仿宋_GB2312"/>
          <w:sz w:val="32"/>
          <w:szCs w:val="32"/>
        </w:rPr>
      </w:pPr>
      <w:r>
        <w:rPr>
          <w:rFonts w:ascii="仿宋_GB2312" w:hAnsi="Times New Roman" w:eastAsia="仿宋_GB2312" w:cs="Times New Roman"/>
          <w:sz w:val="32"/>
          <w:szCs w:val="32"/>
        </w:rPr>
        <w:t>联 系 人：</w:t>
      </w:r>
      <w:r>
        <w:rPr>
          <w:rFonts w:hint="eastAsia" w:ascii="仿宋_GB2312" w:eastAsia="仿宋_GB2312"/>
          <w:sz w:val="32"/>
          <w:szCs w:val="32"/>
        </w:rPr>
        <w:t>李  征</w:t>
      </w:r>
      <w:r>
        <w:rPr>
          <w:rFonts w:ascii="仿宋_GB2312" w:hAnsi="Times New Roman" w:eastAsia="仿宋_GB2312" w:cs="Times New Roman"/>
          <w:sz w:val="32"/>
          <w:szCs w:val="32"/>
        </w:rPr>
        <w:t>，</w:t>
      </w:r>
      <w:r>
        <w:rPr>
          <w:rFonts w:hint="eastAsia" w:ascii="Times New Roman" w:hAnsi="Times New Roman" w:eastAsia="仿宋_GB2312" w:cs="Times New Roman"/>
          <w:sz w:val="32"/>
          <w:szCs w:val="32"/>
        </w:rPr>
        <w:t xml:space="preserve"> 010-</w:t>
      </w:r>
      <w:r>
        <w:rPr>
          <w:rFonts w:ascii="Times New Roman" w:hAnsi="Times New Roman" w:eastAsia="仿宋_GB2312" w:cs="Times New Roman"/>
          <w:sz w:val="32"/>
          <w:szCs w:val="32"/>
        </w:rPr>
        <w:t>56317630</w:t>
      </w:r>
      <w:r>
        <w:rPr>
          <w:rFonts w:hint="eastAsia" w:ascii="Times New Roman" w:hAnsi="Times New Roman" w:eastAsia="仿宋_GB2312" w:cs="Times New Roman"/>
          <w:sz w:val="32"/>
          <w:szCs w:val="32"/>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dxs.moe.gov.cn/whj/yinpin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联</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系</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人：</w:t>
      </w:r>
      <w:r>
        <w:rPr>
          <w:rFonts w:hint="eastAsia" w:ascii="Times New Roman" w:hAnsi="Times New Roman" w:eastAsia="仿宋_GB2312" w:cs="Times New Roman"/>
          <w:sz w:val="32"/>
          <w:szCs w:val="32"/>
        </w:rPr>
        <w:t>杨  虹，010-58582212，</w:t>
      </w:r>
      <w:r>
        <w:rPr>
          <w:rFonts w:ascii="Times New Roman" w:hAnsi="Times New Roman" w:eastAsia="仿宋" w:cs="Times New Roman"/>
          <w:sz w:val="32"/>
          <w:szCs w:val="32"/>
        </w:rPr>
        <w:t>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平台增加网络人气，扩大影响力（详见官网说明）。其中原创作品要在易班网上传完整的音频或视频（歌词和曲谱原创的要上传歌词和曲谱）。</w:t>
      </w:r>
    </w:p>
    <w:p>
      <w:pPr>
        <w:keepNext w:val="0"/>
        <w:keepLines w:val="0"/>
        <w:pageBreakBefore w:val="0"/>
        <w:tabs>
          <w:tab w:val="left" w:pos="1985"/>
        </w:tabs>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活动网址：</w:t>
      </w:r>
      <w:r>
        <w:rPr>
          <w:rFonts w:hint="eastAsia" w:ascii="Times New Roman" w:hAnsi="Times New Roman" w:eastAsia="仿宋_GB2312" w:cs="Times New Roman"/>
          <w:sz w:val="32"/>
          <w:szCs w:val="32"/>
        </w:rPr>
        <w:t>voice</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yiban</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人：冯  斌，</w:t>
      </w:r>
      <w:r>
        <w:rPr>
          <w:rFonts w:hint="eastAsia" w:ascii="Times New Roman" w:hAnsi="Times New Roman" w:eastAsia="仿宋_GB2312" w:cs="Times New Roman"/>
          <w:sz w:val="32"/>
          <w:szCs w:val="32"/>
        </w:rPr>
        <w:t>021</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60161023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rPr>
      </w:pPr>
      <w:r>
        <w:rPr>
          <w:rFonts w:hint="eastAsia" w:ascii="仿宋_GB2312" w:hAnsi="Times New Roman" w:eastAsia="仿宋_GB2312" w:cs="Times New Roman"/>
          <w:sz w:val="32"/>
          <w:szCs w:val="32"/>
        </w:rPr>
        <w:t>活动网址:</w:t>
      </w:r>
      <w:r>
        <w:rPr>
          <w:rFonts w:ascii="Times New Roman" w:hAnsi="Times New Roman" w:eastAsia="仿宋_GB2312" w:cs="Times New Roman"/>
          <w:sz w:val="32"/>
          <w:szCs w:val="32"/>
        </w:rPr>
        <w:t>dxs.moe.gov.cn/whj/chuangxin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联 系 人：</w:t>
      </w:r>
      <w:r>
        <w:rPr>
          <w:rFonts w:hint="eastAsia" w:ascii="Times New Roman" w:hAnsi="Times New Roman" w:eastAsia="仿宋_GB2312" w:cs="Times New Roman"/>
          <w:sz w:val="32"/>
          <w:szCs w:val="32"/>
        </w:rPr>
        <w:t>刘  鹏，010-58556807，wangluowenhuajieqt@163.com</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作品提交</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个人（团队）自荐</w:t>
      </w:r>
      <w:r>
        <w:rPr>
          <w:rFonts w:hint="eastAsia" w:ascii="仿宋_GB2312" w:hAnsi="Times New Roman" w:eastAsia="仿宋_GB2312" w:cs="Times New Roman"/>
          <w:sz w:val="32"/>
          <w:szCs w:val="32"/>
        </w:rPr>
        <w:t>。学生个人（团队）可按照要求自荐，自荐作品统一参加初选，经专家遴选后进入复选环节。网上提交作品完成即视为成功参与。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。教育部直属高校及部省合建高校可在本校选拔的基础上推荐优秀作品，所推荐作品直接进入复选环节。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。省（区、市）教育工作部门可结合本地大学生网络文化节或根据现有网络文化作品情况推荐优秀作品，所推荐作品直接进入终选环节。</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提交者需进入各类作品对应活动网址，自行注册账号登录，并按照系统要求填写信息，选择自荐、教育部直属高校及部省合建高校推荐或省级教育工作</w:t>
      </w:r>
      <w:r>
        <w:rPr>
          <w:rFonts w:hint="eastAsia" w:ascii="Times New Roman" w:hAnsi="Times New Roman" w:eastAsia="仿宋_GB2312" w:cs="Times New Roman"/>
          <w:sz w:val="32"/>
          <w:szCs w:val="32"/>
        </w:rPr>
        <w:t>部门推荐，</w:t>
      </w:r>
      <w:r>
        <w:rPr>
          <w:rFonts w:hint="eastAsia" w:ascii="仿宋_GB2312" w:hAnsi="Times New Roman" w:eastAsia="仿宋_GB2312" w:cs="Times New Roman"/>
          <w:sz w:val="32"/>
          <w:szCs w:val="32"/>
        </w:rPr>
        <w:t>在线提交作品。教育部直属高校及部省合建高校、省级教育工作部门推荐作品，统一组织作品网上提交，填写《第五届全国大学生网络文化节作品征集信息表》（附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）和《第五届全国大学生网络文化节作品征集汇总表》（附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），并加盖推荐单位公章。</w:t>
      </w:r>
      <w:r>
        <w:rPr>
          <w:rFonts w:hint="eastAsia" w:ascii="仿宋_GB2312" w:hAnsi="仿宋" w:eastAsia="仿宋_GB2312" w:cs="宋体"/>
          <w:color w:val="000000"/>
          <w:kern w:val="0"/>
          <w:sz w:val="32"/>
          <w:szCs w:val="32"/>
        </w:rPr>
        <w:t>所有作品征集信息表、汇总表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及盖章扫描版请同时发送至各活动指定邮箱。（作品和</w:t>
      </w:r>
      <w:r>
        <w:rPr>
          <w:rFonts w:hint="eastAsia" w:ascii="仿宋_GB2312" w:hAnsi="仿宋" w:eastAsia="仿宋_GB2312" w:cs="宋体"/>
          <w:kern w:val="0"/>
          <w:sz w:val="32"/>
          <w:szCs w:val="32"/>
        </w:rPr>
        <w:t>材料报送时间截至</w:t>
      </w:r>
      <w:r>
        <w:rPr>
          <w:rFonts w:hint="eastAsia" w:ascii="Times New Roman" w:hAnsi="Times New Roman" w:eastAsia="仿宋_GB2312" w:cs="Times New Roman"/>
          <w:kern w:val="0"/>
          <w:sz w:val="32"/>
          <w:szCs w:val="32"/>
        </w:rPr>
        <w:t>20</w:t>
      </w: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12</w:t>
      </w:r>
      <w:r>
        <w:rPr>
          <w:rFonts w:hint="eastAsia" w:ascii="仿宋_GB2312" w:hAnsi="仿宋" w:eastAsia="仿宋_GB2312" w:cs="宋体"/>
          <w:kern w:val="0"/>
          <w:sz w:val="32"/>
          <w:szCs w:val="32"/>
        </w:rPr>
        <w:t>日</w:t>
      </w:r>
      <w:r>
        <w:rPr>
          <w:rFonts w:hint="eastAsia" w:ascii="仿宋_GB2312" w:hAnsi="仿宋" w:eastAsia="仿宋_GB2312" w:cs="宋体"/>
          <w:color w:val="000000"/>
          <w:kern w:val="0"/>
          <w:sz w:val="32"/>
          <w:szCs w:val="32"/>
        </w:rPr>
        <w:t>，以接收电子邮件时间为准</w:t>
      </w:r>
      <w:r>
        <w:rPr>
          <w:rFonts w:hint="eastAsia" w:ascii="Times New Roman" w:hAnsi="Times New Roman" w:eastAsia="仿宋_GB2312" w:cs="Times New Roman"/>
          <w:sz w:val="32"/>
          <w:szCs w:val="32"/>
        </w:rPr>
        <w:t>）</w:t>
      </w:r>
      <w:bookmarkStart w:id="3" w:name="_GoBack"/>
      <w:bookmarkEnd w:id="3"/>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、联系人及联系方式</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outlineLvl w:val="0"/>
        <w:rPr>
          <w:rFonts w:ascii="仿宋_GB2312" w:hAnsi="Times New Roman" w:eastAsia="仿宋_GB2312" w:cs="Times New Roman"/>
          <w:sz w:val="32"/>
          <w:szCs w:val="32"/>
        </w:rPr>
      </w:pPr>
      <w:r>
        <w:rPr>
          <w:rFonts w:ascii="Times New Roman" w:hAnsi="Times New Roman" w:eastAsia="仿宋" w:cs="Times New Roman"/>
          <w:sz w:val="32"/>
          <w:szCs w:val="32"/>
        </w:rPr>
        <w:t xml:space="preserve">1. </w:t>
      </w:r>
      <w:r>
        <w:rPr>
          <w:rFonts w:hint="eastAsia" w:ascii="仿宋_GB2312" w:hAnsi="Times New Roman" w:eastAsia="仿宋_GB2312" w:cs="Times New Roman"/>
          <w:sz w:val="32"/>
          <w:szCs w:val="32"/>
        </w:rPr>
        <w:t>教育部思想政治工作司宣传教育处</w:t>
      </w:r>
    </w:p>
    <w:p>
      <w:pPr>
        <w:keepNext w:val="0"/>
        <w:keepLines w:val="0"/>
        <w:pageBreakBefore w:val="0"/>
        <w:widowControl w:val="0"/>
        <w:kinsoku/>
        <w:wordWrap w:val="0"/>
        <w:overflowPunct/>
        <w:topLinePunct w:val="0"/>
        <w:autoSpaceDE/>
        <w:autoSpaceDN/>
        <w:bidi w:val="0"/>
        <w:adjustRightInd/>
        <w:snapToGrid/>
        <w:spacing w:line="580" w:lineRule="exact"/>
        <w:ind w:firstLine="960" w:firstLineChars="300"/>
        <w:textAlignment w:val="auto"/>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李居铭</w:t>
      </w:r>
      <w:r>
        <w:rPr>
          <w:rFonts w:hint="eastAsia" w:ascii="Times New Roman" w:hAnsi="Times New Roman" w:eastAsia="仿宋" w:cs="Times New Roman"/>
          <w:sz w:val="32"/>
          <w:szCs w:val="32"/>
        </w:rPr>
        <w:t>010-6607652</w:t>
      </w:r>
    </w:p>
    <w:p>
      <w:pPr>
        <w:keepNext w:val="0"/>
        <w:keepLines w:val="0"/>
        <w:pageBreakBefore w:val="0"/>
        <w:widowControl w:val="0"/>
        <w:numPr>
          <w:ilvl w:val="0"/>
          <w:numId w:val="1"/>
        </w:numPr>
        <w:kinsoku/>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中央网信办网络社会工作局网络文化处</w:t>
      </w:r>
    </w:p>
    <w:p>
      <w:pPr>
        <w:keepNext w:val="0"/>
        <w:keepLines w:val="0"/>
        <w:pageBreakBefore w:val="0"/>
        <w:widowControl w:val="0"/>
        <w:kinsoku/>
        <w:overflowPunct/>
        <w:topLinePunct w:val="0"/>
        <w:autoSpaceDE/>
        <w:autoSpaceDN/>
        <w:bidi w:val="0"/>
        <w:adjustRightInd/>
        <w:snapToGrid/>
        <w:spacing w:line="580" w:lineRule="exact"/>
        <w:ind w:firstLine="960" w:firstLineChars="300"/>
        <w:textAlignment w:val="auto"/>
        <w:rPr>
          <w:rFonts w:ascii="仿宋_GB2312" w:eastAsia="仿宋_GB2312"/>
          <w:sz w:val="32"/>
          <w:szCs w:val="32"/>
        </w:rPr>
      </w:pPr>
      <w:r>
        <w:rPr>
          <w:rFonts w:ascii="Times New Roman" w:hAnsi="Times New Roman" w:eastAsia="仿宋_GB2312" w:cs="Times New Roman"/>
          <w:sz w:val="32"/>
          <w:szCs w:val="32"/>
        </w:rPr>
        <w:t>盖  群010-55635755</w:t>
      </w: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第五届全国大学生网络文化节作品创作选题指南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第五届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教育部思想政治工作司   中央网信办网络社会工作局</w:t>
      </w: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2</w:t>
      </w:r>
      <w:r>
        <w:rPr>
          <w:rFonts w:hint="eastAsia" w:ascii="Times New Roman" w:hAnsi="Times New Roman" w:eastAsia="仿宋" w:cs="Times New Roman"/>
          <w:sz w:val="32"/>
          <w:szCs w:val="32"/>
        </w:rPr>
        <w:t>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  日</w:t>
      </w:r>
      <w:r>
        <w:rPr>
          <w:rFonts w:ascii="Times New Roman" w:hAnsi="Times New Roman" w:eastAsia="仿宋" w:cs="Times New Roman"/>
          <w:sz w:val="32"/>
          <w:szCs w:val="32"/>
        </w:rPr>
        <w:br w:type="page"/>
      </w: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eastAsia" w:ascii="Times New Roman" w:hAnsi="Times New Roman" w:eastAsia="黑体" w:cs="Times New Roman"/>
          <w:sz w:val="32"/>
          <w:szCs w:val="32"/>
        </w:rPr>
      </w:pPr>
      <w:r>
        <w:rPr>
          <w:rFonts w:hint="eastAsia" w:ascii="仿宋_GB2312" w:hAnsi="黑体" w:eastAsia="仿宋_GB2312" w:cs="Times New Roman"/>
          <w:b/>
          <w:sz w:val="32"/>
          <w:szCs w:val="32"/>
        </w:rPr>
        <w:t>附</w:t>
      </w:r>
      <w:r>
        <w:rPr>
          <w:rFonts w:hint="eastAsia" w:ascii="Times New Roman" w:hAnsi="Times New Roman" w:eastAsia="黑体" w:cs="Times New Roman"/>
          <w:sz w:val="32"/>
          <w:szCs w:val="32"/>
        </w:rPr>
        <w:t>1</w:t>
      </w: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eastAsia" w:ascii="Times New Roman" w:hAnsi="Times New Roman" w:eastAsia="黑体" w:cs="Times New Roman"/>
          <w:sz w:val="32"/>
          <w:szCs w:val="32"/>
        </w:rPr>
      </w:pP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rPr>
        <w:t>五</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FangSong_GB2312" w:cs="Times New Roman"/>
          <w:b/>
          <w:bCs/>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学习宣传习近平新时代中国特色社会主义思想</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学习宣传</w:t>
      </w:r>
      <w:r>
        <w:rPr>
          <w:rFonts w:hint="default" w:ascii="Times New Roman" w:hAnsi="Times New Roman" w:eastAsia="仿宋_GB2312" w:cs="Times New Roman"/>
          <w:b w:val="0"/>
          <w:bCs w:val="0"/>
          <w:color w:val="000000"/>
          <w:sz w:val="32"/>
          <w:szCs w:val="32"/>
          <w:lang w:val="en-US" w:eastAsia="zh-CN"/>
        </w:rPr>
        <w:t>党的十九届五中全会精神</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.学习宣传习近平总书记</w:t>
      </w:r>
      <w:r>
        <w:rPr>
          <w:rFonts w:hint="eastAsia" w:ascii="Times New Roman" w:hAnsi="Times New Roman" w:eastAsia="仿宋_GB2312" w:cs="Times New Roman"/>
          <w:color w:val="000000"/>
          <w:kern w:val="0"/>
          <w:sz w:val="32"/>
          <w:szCs w:val="32"/>
          <w:lang w:val="en-US" w:eastAsia="zh-CN"/>
        </w:rPr>
        <w:t>关于教育的</w:t>
      </w:r>
      <w:r>
        <w:rPr>
          <w:rFonts w:hint="default" w:ascii="Times New Roman" w:hAnsi="Times New Roman" w:eastAsia="仿宋_GB2312" w:cs="Times New Roman"/>
          <w:color w:val="000000"/>
          <w:kern w:val="0"/>
          <w:sz w:val="32"/>
          <w:szCs w:val="32"/>
          <w:lang w:val="en-US" w:eastAsia="zh-CN"/>
        </w:rPr>
        <w:t>重要</w:t>
      </w:r>
      <w:r>
        <w:rPr>
          <w:rFonts w:hint="eastAsia" w:ascii="Times New Roman" w:hAnsi="Times New Roman" w:eastAsia="仿宋_GB2312" w:cs="Times New Roman"/>
          <w:color w:val="000000"/>
          <w:kern w:val="0"/>
          <w:sz w:val="32"/>
          <w:szCs w:val="32"/>
          <w:lang w:val="en-US" w:eastAsia="zh-CN"/>
        </w:rPr>
        <w:t>论述</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val="en-US" w:eastAsia="zh-CN"/>
        </w:rPr>
        <w:t>.学习宣传习近平总书记关于党史、新中国史、改革开放史、社会主义发展史学习及新冠肺炎疫情防控工作的重要讲话和指示精神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庆祝中国共产党成立100周年</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6.展现我国改革开放和社会主义现代化建设的伟大成就，描绘全面建成小康社会、实现中华民族伟大复兴中国梦的美好前景</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7.学习弘扬</w:t>
      </w:r>
      <w:r>
        <w:rPr>
          <w:rFonts w:hint="default" w:ascii="Times New Roman" w:hAnsi="Times New Roman" w:eastAsia="仿宋_GB2312" w:cs="Times New Roman"/>
          <w:color w:val="000000"/>
          <w:sz w:val="32"/>
          <w:szCs w:val="32"/>
        </w:rPr>
        <w:t>中华优秀传统文化、革命文化和社会主义先进文化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sz w:val="32"/>
          <w:szCs w:val="32"/>
          <w:lang w:val="en-US" w:eastAsia="zh-CN"/>
        </w:rPr>
        <w:t>8.</w:t>
      </w:r>
      <w:r>
        <w:rPr>
          <w:rFonts w:hint="eastAsia" w:ascii="Times New Roman" w:hAnsi="Times New Roman" w:eastAsia="仿宋_GB2312" w:cs="Times New Roman"/>
          <w:color w:val="000000"/>
          <w:sz w:val="32"/>
          <w:szCs w:val="32"/>
          <w:lang w:val="en-US" w:eastAsia="zh-CN"/>
        </w:rPr>
        <w:t>学习习近平法治思想，</w:t>
      </w:r>
      <w:r>
        <w:rPr>
          <w:rFonts w:hint="default" w:ascii="Times New Roman" w:hAnsi="Times New Roman" w:eastAsia="仿宋_GB2312" w:cs="Times New Roman"/>
          <w:color w:val="000000"/>
          <w:sz w:val="32"/>
          <w:szCs w:val="32"/>
        </w:rPr>
        <w:t>弘扬社会主义法治理念、法治精神，培育社会主义法治文化</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讲述青年学生勇于改革、善于创新，扎根基层、建功立业的生动事迹</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记录青年学生在疫情防控、脱贫攻坚、乡村振兴等重大行动中投身社会实践、增长知识才干的青春风采</w:t>
      </w:r>
    </w:p>
    <w:p>
      <w:pPr>
        <w:keepNext w:val="0"/>
        <w:keepLines w:val="0"/>
        <w:pageBreakBefore w:val="0"/>
        <w:widowControl w:val="0"/>
        <w:kinsoku/>
        <w:overflowPunct w:val="0"/>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sz w:val="32"/>
          <w:szCs w:val="32"/>
          <w:lang w:val="en-US" w:eastAsia="zh-CN"/>
        </w:rPr>
        <w:t>11.体现青</w:t>
      </w:r>
      <w:r>
        <w:rPr>
          <w:rFonts w:hint="default"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立志成才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勇担民族复兴大任的抱负决心</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12.体现文明健康的网络生活方式，提升网络素养，维护网络安全，争做校园好网民</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13.提升</w:t>
      </w:r>
      <w:r>
        <w:rPr>
          <w:rFonts w:hint="eastAsia" w:ascii="Times New Roman" w:hAnsi="Times New Roman" w:eastAsia="仿宋_GB2312" w:cs="Times New Roman"/>
          <w:color w:val="000000"/>
          <w:sz w:val="32"/>
          <w:szCs w:val="32"/>
          <w:lang w:val="en-US" w:eastAsia="zh-CN"/>
        </w:rPr>
        <w:t>诚信意识，营造守信良好氛围</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14.展示健康向上、格调高雅的校园文化活动</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15.倡导“厉行节约、杜绝浪费”，共建文明校园</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FangSong_GB2312" w:cs="Times New Roman"/>
          <w:b/>
          <w:bCs/>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FangSong_GB2312" w:cs="Times New Roman"/>
          <w:b w:val="0"/>
          <w:bCs w:val="0"/>
          <w:sz w:val="32"/>
          <w:szCs w:val="32"/>
          <w:lang w:val="en-US" w:eastAsia="zh-CN"/>
        </w:rPr>
        <w:t>17.</w:t>
      </w:r>
      <w:r>
        <w:rPr>
          <w:rFonts w:hint="eastAsia" w:ascii="Times New Roman" w:hAnsi="Times New Roman" w:eastAsia="仿宋_GB2312" w:cs="Times New Roman"/>
          <w:color w:val="000000"/>
          <w:kern w:val="0"/>
          <w:sz w:val="32"/>
          <w:szCs w:val="32"/>
          <w:lang w:val="en-US" w:eastAsia="zh-CN"/>
        </w:rPr>
        <w:t>坚持总体国家安全观，自觉维护国家安全</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18.倡导理性消费，揭示网络游戏成瘾、网络赌博、不良网贷的危害</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19.扫黑除恶、净化环境，共建平安</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20.共筑反奸防谍人民防线</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color w:val="000000"/>
          <w:kern w:val="0"/>
          <w:sz w:val="32"/>
          <w:szCs w:val="32"/>
          <w:lang w:val="en-US" w:eastAsia="zh-CN"/>
        </w:rPr>
        <w:t>21.守护师生安全，建设平安校园</w:t>
      </w:r>
    </w:p>
    <w:p>
      <w:pPr>
        <w:pStyle w:val="28"/>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default" w:ascii="Times New Roman" w:hAnsi="Times New Roman" w:eastAsia="仿宋_GB2312" w:cs="Times New Roman"/>
          <w:b/>
          <w:bCs/>
          <w:color w:val="000000"/>
          <w:sz w:val="30"/>
          <w:szCs w:val="30"/>
          <w:lang w:val="en-US" w:eastAsia="zh-CN"/>
        </w:rPr>
      </w:pPr>
      <w:r>
        <w:rPr>
          <w:rFonts w:hint="eastAsia" w:ascii="Times New Roman" w:hAnsi="Times New Roman" w:eastAsia="仿宋_GB2312" w:cs="Times New Roman"/>
          <w:b/>
          <w:bCs/>
          <w:color w:val="000000"/>
          <w:sz w:val="30"/>
          <w:szCs w:val="30"/>
          <w:lang w:val="en-US" w:eastAsia="zh-CN"/>
        </w:rPr>
        <w:t>（供创作参考，不限于以上主题）</w:t>
      </w:r>
    </w:p>
    <w:p>
      <w:pPr>
        <w:pStyle w:val="28"/>
        <w:keepNext w:val="0"/>
        <w:keepLines w:val="0"/>
        <w:pageBreakBefore w:val="0"/>
        <w:widowControl w:val="0"/>
        <w:kinsoku/>
        <w:wordWrap w:val="0"/>
        <w:topLinePunct w:val="0"/>
        <w:autoSpaceDE/>
        <w:autoSpaceDN/>
        <w:bidi w:val="0"/>
        <w:adjustRightInd/>
        <w:snapToGrid/>
        <w:spacing w:line="600" w:lineRule="exact"/>
        <w:ind w:firstLine="0" w:firstLineChars="0"/>
        <w:textAlignment w:val="auto"/>
        <w:rPr>
          <w:rFonts w:hint="eastAsia" w:ascii="黑体" w:hAnsi="黑体" w:eastAsia="黑体" w:cs="黑体"/>
          <w:color w:val="000000"/>
          <w:sz w:val="30"/>
          <w:szCs w:val="30"/>
        </w:rPr>
      </w:pP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w:t>
      </w:r>
      <w:r>
        <w:rPr>
          <w:rFonts w:ascii="Times New Roman" w:hAnsi="Times New Roman" w:eastAsia="方正小标宋简体" w:cs="Times New Roman"/>
          <w:color w:val="000000"/>
          <w:kern w:val="0"/>
          <w:sz w:val="28"/>
          <w:szCs w:val="24"/>
        </w:rPr>
        <w:t>五</w:t>
      </w:r>
      <w:r>
        <w:rPr>
          <w:rFonts w:ascii="Times New Roman" w:hAnsi="Times New Roman" w:eastAsia="方正小标宋简体" w:cs="Times New Roman"/>
          <w:kern w:val="0"/>
          <w:sz w:val="28"/>
          <w:szCs w:val="24"/>
        </w:rPr>
        <w:t>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w:t>
      </w:r>
      <w:r>
        <w:rPr>
          <w:rFonts w:hint="eastAsia" w:ascii="Times New Roman" w:hAnsi="Times New Roman" w:eastAsia="方正小标宋简体" w:cs="Times New Roman"/>
          <w:bCs/>
          <w:color w:val="000000"/>
          <w:kern w:val="0"/>
          <w:sz w:val="28"/>
          <w:szCs w:val="24"/>
        </w:rPr>
        <w:t>五</w:t>
      </w:r>
      <w:r>
        <w:rPr>
          <w:rFonts w:ascii="Times New Roman" w:hAnsi="Times New Roman" w:eastAsia="方正小标宋简体" w:cs="Times New Roman"/>
          <w:bCs/>
          <w:kern w:val="0"/>
          <w:sz w:val="28"/>
          <w:szCs w:val="24"/>
        </w:rPr>
        <w:t>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1"/>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iti SC Light">
    <w:altName w:val="思源黑体 CN Normal"/>
    <w:panose1 w:val="00000000000000000000"/>
    <w:charset w:val="80"/>
    <w:family w:val="auto"/>
    <w:pitch w:val="default"/>
    <w:sig w:usb0="00000000" w:usb1="00000000" w:usb2="00000010" w:usb3="00000000" w:csb0="003E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 w:name="思源黑体 CN Normal">
    <w:panose1 w:val="020B04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DF1B"/>
    <w:multiLevelType w:val="singleLevel"/>
    <w:tmpl w:val="1AA2DF1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4C885-ED98-43B1-9C9C-C53863337D70}">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874</Words>
  <Characters>4985</Characters>
  <Lines>41</Lines>
  <Paragraphs>11</Paragraphs>
  <TotalTime>33</TotalTime>
  <ScaleCrop>false</ScaleCrop>
  <LinksUpToDate>false</LinksUpToDate>
  <CharactersWithSpaces>5848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MyPC</cp:lastModifiedBy>
  <cp:lastPrinted>2020-12-17T09:01:00Z</cp:lastPrinted>
  <dcterms:modified xsi:type="dcterms:W3CDTF">2020-12-17T09:17:40Z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