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18" w:rsidRPr="002356D5" w:rsidRDefault="00E75218" w:rsidP="00772146">
      <w:pPr>
        <w:adjustRightInd w:val="0"/>
        <w:snapToGrid w:val="0"/>
        <w:spacing w:line="560" w:lineRule="exact"/>
        <w:jc w:val="left"/>
        <w:outlineLvl w:val="0"/>
        <w:rPr>
          <w:rFonts w:ascii="Times New Roman" w:eastAsia="仿宋" w:hAnsi="Times New Roman" w:cs="Times New Roman"/>
          <w:b/>
          <w:bCs/>
          <w:sz w:val="30"/>
          <w:szCs w:val="30"/>
        </w:rPr>
      </w:pPr>
      <w:r w:rsidRPr="002356D5">
        <w:rPr>
          <w:rFonts w:ascii="Times New Roman" w:hAnsi="仿宋" w:cs="宋体" w:hint="eastAsia"/>
          <w:sz w:val="32"/>
          <w:szCs w:val="32"/>
        </w:rPr>
        <w:t>附件</w:t>
      </w:r>
      <w:r>
        <w:rPr>
          <w:rFonts w:ascii="Times New Roman" w:hAnsi="Times New Roman" w:cs="Times New Roman"/>
          <w:sz w:val="32"/>
          <w:szCs w:val="32"/>
        </w:rPr>
        <w:t>1</w:t>
      </w:r>
    </w:p>
    <w:p w:rsidR="00E75218" w:rsidRPr="002356D5" w:rsidRDefault="00E75218" w:rsidP="00CA59A9">
      <w:pPr>
        <w:adjustRightInd w:val="0"/>
        <w:snapToGrid w:val="0"/>
        <w:spacing w:line="560" w:lineRule="exact"/>
        <w:jc w:val="center"/>
        <w:outlineLvl w:val="0"/>
        <w:rPr>
          <w:rFonts w:ascii="Times New Roman" w:eastAsia="黑体" w:hAnsi="Times New Roman" w:cs="Times New Roman"/>
          <w:sz w:val="32"/>
          <w:szCs w:val="32"/>
        </w:rPr>
      </w:pPr>
      <w:r w:rsidRPr="002356D5">
        <w:rPr>
          <w:rFonts w:ascii="Times New Roman" w:eastAsia="黑体" w:hAnsi="黑体" w:cs="黑体" w:hint="eastAsia"/>
          <w:sz w:val="32"/>
          <w:szCs w:val="32"/>
        </w:rPr>
        <w:t>江苏省职业院校管理水平提升行动计划（</w:t>
      </w:r>
      <w:r w:rsidRPr="002356D5">
        <w:rPr>
          <w:rFonts w:ascii="Times New Roman" w:eastAsia="黑体" w:hAnsi="Times New Roman" w:cs="Times New Roman"/>
          <w:sz w:val="32"/>
          <w:szCs w:val="32"/>
        </w:rPr>
        <w:t>2016-2018</w:t>
      </w:r>
      <w:r w:rsidRPr="002356D5">
        <w:rPr>
          <w:rFonts w:ascii="Times New Roman" w:eastAsia="黑体" w:hAnsi="黑体" w:cs="黑体" w:hint="eastAsia"/>
          <w:sz w:val="32"/>
          <w:szCs w:val="32"/>
        </w:rPr>
        <w:t>年）</w:t>
      </w:r>
    </w:p>
    <w:p w:rsidR="00E75218" w:rsidRPr="002356D5" w:rsidRDefault="00E75218" w:rsidP="00CA59A9">
      <w:pPr>
        <w:adjustRightInd w:val="0"/>
        <w:snapToGrid w:val="0"/>
        <w:spacing w:line="560" w:lineRule="exact"/>
        <w:jc w:val="center"/>
        <w:outlineLvl w:val="0"/>
        <w:rPr>
          <w:rFonts w:ascii="Times New Roman" w:eastAsia="黑体" w:hAnsi="Times New Roman" w:cs="Times New Roman"/>
          <w:sz w:val="32"/>
          <w:szCs w:val="32"/>
        </w:rPr>
      </w:pPr>
      <w:r w:rsidRPr="002356D5">
        <w:rPr>
          <w:rFonts w:ascii="Times New Roman" w:eastAsia="黑体" w:hAnsi="黑体" w:cs="黑体" w:hint="eastAsia"/>
          <w:sz w:val="32"/>
          <w:szCs w:val="32"/>
        </w:rPr>
        <w:t>重点任务分工及进度安排表</w:t>
      </w:r>
    </w:p>
    <w:p w:rsidR="00E75218" w:rsidRPr="002356D5" w:rsidRDefault="00E75218" w:rsidP="00772146">
      <w:pPr>
        <w:adjustRightInd w:val="0"/>
        <w:snapToGrid w:val="0"/>
        <w:jc w:val="center"/>
        <w:outlineLvl w:val="0"/>
        <w:rPr>
          <w:rFonts w:ascii="Times New Roman" w:eastAsia="仿宋" w:hAnsi="Times New Roman" w:cs="Times New Roman"/>
          <w:b/>
          <w:bCs/>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3578"/>
        <w:gridCol w:w="2325"/>
        <w:gridCol w:w="3764"/>
      </w:tblGrid>
      <w:tr w:rsidR="00E75218" w:rsidRPr="002356D5">
        <w:trPr>
          <w:trHeight w:val="530"/>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黑体" w:hAnsi="Times New Roman" w:cs="Times New Roman"/>
                <w:sz w:val="24"/>
                <w:szCs w:val="24"/>
              </w:rPr>
            </w:pPr>
            <w:r w:rsidRPr="002356D5">
              <w:rPr>
                <w:rFonts w:ascii="Times New Roman" w:eastAsia="黑体" w:hAnsi="黑体" w:cs="黑体" w:hint="eastAsia"/>
                <w:sz w:val="24"/>
                <w:szCs w:val="24"/>
              </w:rPr>
              <w:t>序号</w:t>
            </w:r>
          </w:p>
        </w:tc>
        <w:tc>
          <w:tcPr>
            <w:tcW w:w="3578" w:type="dxa"/>
            <w:vAlign w:val="center"/>
          </w:tcPr>
          <w:p w:rsidR="00E75218" w:rsidRPr="002356D5" w:rsidRDefault="00E75218" w:rsidP="00BF3403">
            <w:pPr>
              <w:adjustRightInd w:val="0"/>
              <w:snapToGrid w:val="0"/>
              <w:spacing w:line="240" w:lineRule="atLeast"/>
              <w:jc w:val="center"/>
              <w:outlineLvl w:val="0"/>
              <w:rPr>
                <w:rFonts w:ascii="Times New Roman" w:eastAsia="黑体" w:hAnsi="Times New Roman" w:cs="Times New Roman"/>
                <w:sz w:val="24"/>
                <w:szCs w:val="24"/>
              </w:rPr>
            </w:pPr>
            <w:r w:rsidRPr="002356D5">
              <w:rPr>
                <w:rFonts w:ascii="Times New Roman" w:eastAsia="黑体" w:hAnsi="黑体" w:cs="黑体" w:hint="eastAsia"/>
                <w:sz w:val="24"/>
                <w:szCs w:val="24"/>
              </w:rPr>
              <w:t>重点任务</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黑体" w:hAnsi="Times New Roman" w:cs="Times New Roman"/>
                <w:sz w:val="24"/>
                <w:szCs w:val="24"/>
              </w:rPr>
            </w:pPr>
            <w:r w:rsidRPr="002356D5">
              <w:rPr>
                <w:rFonts w:ascii="Times New Roman" w:eastAsia="黑体" w:hAnsi="黑体" w:cs="黑体" w:hint="eastAsia"/>
                <w:sz w:val="24"/>
                <w:szCs w:val="24"/>
              </w:rPr>
              <w:t>责任主体</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黑体" w:hAnsi="Times New Roman" w:cs="Times New Roman"/>
                <w:sz w:val="24"/>
                <w:szCs w:val="24"/>
              </w:rPr>
            </w:pPr>
            <w:r w:rsidRPr="002356D5">
              <w:rPr>
                <w:rFonts w:ascii="Times New Roman" w:eastAsia="黑体" w:hAnsi="黑体" w:cs="黑体" w:hint="eastAsia"/>
                <w:sz w:val="24"/>
                <w:szCs w:val="24"/>
              </w:rPr>
              <w:t>时间进度</w:t>
            </w:r>
          </w:p>
        </w:tc>
      </w:tr>
      <w:tr w:rsidR="00E75218" w:rsidRPr="002356D5">
        <w:trPr>
          <w:trHeight w:val="470"/>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一、实施突出问题专项治理行动</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规范招生秩序</w:t>
            </w:r>
            <w:r>
              <w:rPr>
                <w:rFonts w:ascii="Times New Roman" w:eastAsia="仿宋_GB2312" w:hAnsi="Times New Roman" w:cs="仿宋_GB2312" w:hint="eastAsia"/>
                <w:sz w:val="24"/>
                <w:szCs w:val="24"/>
              </w:rPr>
              <w:t>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核查学籍信息</w:t>
            </w:r>
            <w:r>
              <w:rPr>
                <w:rFonts w:ascii="Times New Roman" w:eastAsia="仿宋_GB2312" w:hAnsi="Times New Roman" w:cs="仿宋_GB2312" w:hint="eastAsia"/>
                <w:sz w:val="24"/>
                <w:szCs w:val="24"/>
              </w:rPr>
              <w:t>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仿宋_GB2312" w:hint="eastAsia"/>
                <w:sz w:val="24"/>
                <w:szCs w:val="24"/>
              </w:rPr>
              <w:t>职业院校</w:t>
            </w:r>
          </w:p>
        </w:tc>
        <w:tc>
          <w:tcPr>
            <w:tcW w:w="3764"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3</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落实教学标准</w:t>
            </w:r>
            <w:r>
              <w:rPr>
                <w:rFonts w:ascii="Times New Roman" w:eastAsia="仿宋_GB2312" w:hAnsi="Times New Roman" w:cs="仿宋_GB2312" w:hint="eastAsia"/>
                <w:sz w:val="24"/>
                <w:szCs w:val="24"/>
              </w:rPr>
              <w:t>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仿宋_GB2312" w:hint="eastAsia"/>
                <w:sz w:val="24"/>
                <w:szCs w:val="24"/>
              </w:rPr>
              <w:t>职业院校</w:t>
            </w:r>
          </w:p>
        </w:tc>
        <w:tc>
          <w:tcPr>
            <w:tcW w:w="3764"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b/>
                <w:bCs/>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4</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强化实习实训管理</w:t>
            </w:r>
            <w:r>
              <w:rPr>
                <w:rFonts w:ascii="Times New Roman" w:eastAsia="仿宋_GB2312" w:hAnsi="Times New Roman" w:cs="仿宋_GB2312" w:hint="eastAsia"/>
                <w:sz w:val="24"/>
                <w:szCs w:val="24"/>
              </w:rPr>
              <w:t>活动</w:t>
            </w:r>
          </w:p>
        </w:tc>
        <w:tc>
          <w:tcPr>
            <w:tcW w:w="2325"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5</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创建平安校园</w:t>
            </w:r>
            <w:r>
              <w:rPr>
                <w:rFonts w:ascii="Times New Roman" w:eastAsia="仿宋_GB2312" w:hAnsi="Times New Roman" w:cs="仿宋_GB2312" w:hint="eastAsia"/>
                <w:sz w:val="24"/>
                <w:szCs w:val="24"/>
              </w:rPr>
              <w:t>活动</w:t>
            </w:r>
          </w:p>
        </w:tc>
        <w:tc>
          <w:tcPr>
            <w:tcW w:w="2325"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6</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规范财务管理</w:t>
            </w:r>
            <w:r>
              <w:rPr>
                <w:rFonts w:ascii="Times New Roman" w:eastAsia="仿宋_GB2312" w:hAnsi="Times New Roman" w:cs="仿宋_GB2312" w:hint="eastAsia"/>
                <w:sz w:val="24"/>
                <w:szCs w:val="24"/>
              </w:rPr>
              <w:t>活动</w:t>
            </w:r>
          </w:p>
        </w:tc>
        <w:tc>
          <w:tcPr>
            <w:tcW w:w="2325"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7</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督促专项治理行动落实并建立长效机制</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499"/>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黑体" w:hAnsi="Times New Roman" w:cs="Times New Roman"/>
                <w:sz w:val="24"/>
                <w:szCs w:val="24"/>
              </w:rPr>
            </w:pPr>
            <w:r w:rsidRPr="002356D5">
              <w:rPr>
                <w:rFonts w:ascii="Times New Roman" w:eastAsia="黑体" w:hAnsi="黑体" w:cs="黑体" w:hint="eastAsia"/>
                <w:sz w:val="24"/>
                <w:szCs w:val="24"/>
              </w:rPr>
              <w:t>二、实施现代学校制度健全行动</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8</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建立学校</w:t>
            </w:r>
            <w:r w:rsidRPr="002356D5">
              <w:rPr>
                <w:rFonts w:ascii="Times New Roman" w:eastAsia="仿宋_GB2312" w:hAnsi="Times New Roman" w:cs="仿宋_GB2312" w:hint="eastAsia"/>
                <w:sz w:val="24"/>
                <w:szCs w:val="24"/>
              </w:rPr>
              <w:t>章程</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高职院校</w:t>
            </w:r>
            <w:r w:rsidRPr="00E03928">
              <w:rPr>
                <w:rFonts w:ascii="Times New Roman" w:eastAsia="仿宋_GB2312" w:hAnsi="Times New Roman" w:cs="Times New Roman"/>
                <w:sz w:val="24"/>
                <w:szCs w:val="24"/>
              </w:rPr>
              <w:t>2016</w:t>
            </w:r>
            <w:r w:rsidRPr="00E03928">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3</w:t>
            </w:r>
            <w:r w:rsidRPr="00E03928">
              <w:rPr>
                <w:rFonts w:ascii="Times New Roman" w:eastAsia="仿宋_GB2312" w:hAnsi="Times New Roman" w:cs="仿宋_GB2312" w:hint="eastAsia"/>
                <w:sz w:val="24"/>
                <w:szCs w:val="24"/>
              </w:rPr>
              <w:t>月底</w:t>
            </w:r>
            <w:r w:rsidRPr="002356D5">
              <w:rPr>
                <w:rFonts w:ascii="Times New Roman" w:eastAsia="仿宋_GB2312" w:hAnsi="Times New Roman" w:cs="仿宋_GB2312" w:hint="eastAsia"/>
                <w:sz w:val="24"/>
                <w:szCs w:val="24"/>
              </w:rPr>
              <w:t>前完成</w:t>
            </w:r>
          </w:p>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中职示范校</w:t>
            </w: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9</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完善制度标准</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2018</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6</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E03928">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10</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搭建章程建设和完善内部管理制度的交流、咨询和服务平台，组织研制管理指导手册</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2018</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6</w:t>
            </w:r>
            <w:r w:rsidRPr="002356D5">
              <w:rPr>
                <w:rFonts w:ascii="Times New Roman" w:eastAsia="仿宋_GB2312" w:hAnsi="Times New Roman" w:cs="仿宋_GB2312" w:hint="eastAsia"/>
                <w:sz w:val="24"/>
                <w:szCs w:val="24"/>
              </w:rPr>
              <w:t>月底前完成</w:t>
            </w:r>
          </w:p>
        </w:tc>
      </w:tr>
      <w:tr w:rsidR="00E75218" w:rsidRPr="002356D5">
        <w:trPr>
          <w:trHeight w:val="497"/>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三、实施管理队伍能力建设行动</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11</w:t>
            </w:r>
          </w:p>
        </w:tc>
        <w:tc>
          <w:tcPr>
            <w:tcW w:w="3578" w:type="dxa"/>
            <w:vAlign w:val="center"/>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细化院校长和其他管理人员能力要求，开展培养培训</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12</w:t>
            </w:r>
          </w:p>
        </w:tc>
        <w:tc>
          <w:tcPr>
            <w:tcW w:w="3578" w:type="dxa"/>
            <w:vAlign w:val="center"/>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组织开展管理经验交流和培训活动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475"/>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四、实施管理信息化水平提升行动</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13</w:t>
            </w:r>
          </w:p>
        </w:tc>
        <w:tc>
          <w:tcPr>
            <w:tcW w:w="3578" w:type="dxa"/>
            <w:vAlign w:val="center"/>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制订和完善智慧校园建设规划，建立健全管理信息系统应用和技术支持服务体系</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2017</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14</w:t>
            </w:r>
          </w:p>
        </w:tc>
        <w:tc>
          <w:tcPr>
            <w:tcW w:w="3578" w:type="dxa"/>
            <w:vAlign w:val="center"/>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强化管理人员信息化意识和应用能力培养</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15</w:t>
            </w:r>
          </w:p>
        </w:tc>
        <w:tc>
          <w:tcPr>
            <w:tcW w:w="3578" w:type="dxa"/>
            <w:vAlign w:val="center"/>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组织开展信息化管理创新经验交流与现场观摩等活动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2017</w:t>
            </w:r>
            <w:r w:rsidRPr="002356D5">
              <w:rPr>
                <w:rFonts w:ascii="Times New Roman" w:eastAsia="仿宋_GB2312" w:hAnsi="Times New Roman" w:cs="仿宋_GB2312" w:hint="eastAsia"/>
                <w:sz w:val="24"/>
                <w:szCs w:val="24"/>
              </w:rPr>
              <w:t>年</w:t>
            </w:r>
            <w:r w:rsidRPr="002356D5">
              <w:rPr>
                <w:rFonts w:ascii="Times New Roman" w:eastAsia="仿宋_GB2312" w:hAnsi="Times New Roman" w:cs="Times New Roman"/>
                <w:sz w:val="24"/>
                <w:szCs w:val="24"/>
              </w:rPr>
              <w:t>12</w:t>
            </w:r>
            <w:r w:rsidRPr="002356D5">
              <w:rPr>
                <w:rFonts w:ascii="Times New Roman" w:eastAsia="仿宋_GB2312" w:hAnsi="Times New Roman" w:cs="仿宋_GB2312" w:hint="eastAsia"/>
                <w:sz w:val="24"/>
                <w:szCs w:val="24"/>
              </w:rPr>
              <w:t>月底前完成</w:t>
            </w:r>
          </w:p>
        </w:tc>
      </w:tr>
      <w:tr w:rsidR="00E75218" w:rsidRPr="002356D5">
        <w:trPr>
          <w:trHeight w:val="439"/>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五、实施学校文化育人创新行动</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16</w:t>
            </w:r>
          </w:p>
        </w:tc>
        <w:tc>
          <w:tcPr>
            <w:tcW w:w="3578"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pacing w:val="-4"/>
                <w:sz w:val="24"/>
                <w:szCs w:val="24"/>
              </w:rPr>
              <w:t>组织开展学校核心文化等遴选展示活动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p w:rsidR="00E75218" w:rsidRPr="002356D5" w:rsidRDefault="00E75218" w:rsidP="003357DD">
            <w:pPr>
              <w:adjustRightInd w:val="0"/>
              <w:snapToGrid w:val="0"/>
              <w:spacing w:line="240" w:lineRule="atLeast"/>
              <w:outlineLvl w:val="0"/>
              <w:rPr>
                <w:rFonts w:ascii="Times New Roman" w:eastAsia="仿宋_GB2312" w:hAnsi="Times New Roman" w:cs="Times New Roman"/>
                <w:sz w:val="24"/>
                <w:szCs w:val="24"/>
              </w:rPr>
            </w:pP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12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17</w:t>
            </w:r>
          </w:p>
        </w:tc>
        <w:tc>
          <w:tcPr>
            <w:tcW w:w="3578"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开展优秀文化进校园、学生自主发展能力培养等系列主题活动，全面实施职业教育素质教育</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476"/>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六、实施质量保证体系完善行动</w:t>
            </w:r>
          </w:p>
        </w:tc>
      </w:tr>
      <w:tr w:rsidR="00E75218" w:rsidRPr="002356D5">
        <w:trPr>
          <w:trHeight w:val="55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18</w:t>
            </w:r>
          </w:p>
        </w:tc>
        <w:tc>
          <w:tcPr>
            <w:tcW w:w="3578"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建立健全质量监控体系，发布质量年度报告</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55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19</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建立和完善预警机制，编制、发布职业教育质量年度报告</w:t>
            </w:r>
          </w:p>
        </w:tc>
        <w:tc>
          <w:tcPr>
            <w:tcW w:w="2325"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地方教育行政部门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478"/>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七、组织领导到位</w:t>
            </w:r>
          </w:p>
        </w:tc>
      </w:tr>
      <w:tr w:rsidR="00E75218" w:rsidRPr="002356D5">
        <w:trPr>
          <w:trHeight w:val="82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w:t>
            </w:r>
          </w:p>
        </w:tc>
        <w:tc>
          <w:tcPr>
            <w:tcW w:w="3578" w:type="dxa"/>
          </w:tcPr>
          <w:p w:rsidR="00E75218" w:rsidRPr="002356D5" w:rsidRDefault="00E75218" w:rsidP="008C1B7A">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加强对市县教育行政部门组织实施行动计划和有关重点工作的检查指导</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省教育厅</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99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21</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根据行动计划整体部署，对照《职业院校管理工作主要参考点》，制订工作方案和年度推进计划</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3</w:t>
            </w:r>
            <w:r w:rsidRPr="002356D5">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15</w:t>
            </w:r>
            <w:r>
              <w:rPr>
                <w:rFonts w:ascii="Times New Roman" w:eastAsia="仿宋_GB2312" w:hAnsi="Times New Roman" w:cs="仿宋_GB2312" w:hint="eastAsia"/>
                <w:sz w:val="24"/>
                <w:szCs w:val="24"/>
              </w:rPr>
              <w:t>日</w:t>
            </w:r>
            <w:r w:rsidRPr="002356D5">
              <w:rPr>
                <w:rFonts w:ascii="Times New Roman" w:eastAsia="仿宋_GB2312" w:hAnsi="Times New Roman" w:cs="仿宋_GB2312" w:hint="eastAsia"/>
                <w:sz w:val="24"/>
                <w:szCs w:val="24"/>
              </w:rPr>
              <w:t>前完成</w:t>
            </w:r>
          </w:p>
        </w:tc>
      </w:tr>
      <w:tr w:rsidR="00E75218" w:rsidRPr="002356D5">
        <w:trPr>
          <w:trHeight w:val="55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22</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行动计划</w:t>
            </w:r>
            <w:r w:rsidRPr="002356D5">
              <w:rPr>
                <w:rFonts w:ascii="Times New Roman" w:eastAsia="仿宋_GB2312" w:hAnsi="Times New Roman" w:cs="仿宋_GB2312" w:hint="eastAsia"/>
                <w:sz w:val="24"/>
                <w:szCs w:val="24"/>
              </w:rPr>
              <w:t>工作方案报省教育厅备案</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各市（省直管县）教育局、高职院校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2016</w:t>
            </w:r>
            <w:r w:rsidRPr="002356D5">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3</w:t>
            </w:r>
            <w:r w:rsidRPr="002356D5">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15</w:t>
            </w:r>
            <w:r>
              <w:rPr>
                <w:rFonts w:ascii="Times New Roman" w:eastAsia="仿宋_GB2312" w:hAnsi="Times New Roman" w:cs="仿宋_GB2312" w:hint="eastAsia"/>
                <w:sz w:val="24"/>
                <w:szCs w:val="24"/>
              </w:rPr>
              <w:t>日</w:t>
            </w:r>
            <w:r w:rsidRPr="002356D5">
              <w:rPr>
                <w:rFonts w:ascii="Times New Roman" w:eastAsia="仿宋_GB2312" w:hAnsi="Times New Roman" w:cs="仿宋_GB2312" w:hint="eastAsia"/>
                <w:sz w:val="24"/>
                <w:szCs w:val="24"/>
              </w:rPr>
              <w:t>前完成</w:t>
            </w:r>
          </w:p>
        </w:tc>
      </w:tr>
      <w:tr w:rsidR="00E75218" w:rsidRPr="002356D5">
        <w:trPr>
          <w:trHeight w:val="461"/>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八、宣传发动到位</w:t>
            </w:r>
          </w:p>
        </w:tc>
      </w:tr>
      <w:tr w:rsidR="00E75218" w:rsidRPr="002356D5">
        <w:trPr>
          <w:trHeight w:val="82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23</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开展行动计划以及国家职业教育有关政策法规和制度标准的宣传解读活动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r w:rsidRPr="002356D5" w:rsidDel="00464EDA">
              <w:rPr>
                <w:rFonts w:ascii="Times New Roman" w:eastAsia="仿宋_GB2312" w:hAnsi="Times New Roman" w:cs="Times New Roman"/>
                <w:sz w:val="24"/>
                <w:szCs w:val="24"/>
              </w:rPr>
              <w:t xml:space="preserve"> </w:t>
            </w:r>
          </w:p>
        </w:tc>
      </w:tr>
      <w:tr w:rsidR="00E75218" w:rsidRPr="002356D5">
        <w:trPr>
          <w:trHeight w:val="82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24</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设立</w:t>
            </w:r>
            <w:r w:rsidRPr="002356D5">
              <w:rPr>
                <w:rFonts w:ascii="Times New Roman" w:eastAsia="仿宋_GB2312" w:hAnsi="Times New Roman" w:cs="Times New Roman"/>
                <w:sz w:val="24"/>
                <w:szCs w:val="24"/>
              </w:rPr>
              <w:t>“</w:t>
            </w:r>
            <w:r w:rsidRPr="002356D5">
              <w:rPr>
                <w:rFonts w:ascii="Times New Roman" w:eastAsia="仿宋_GB2312" w:hAnsi="Times New Roman" w:cs="仿宋_GB2312" w:hint="eastAsia"/>
                <w:sz w:val="24"/>
                <w:szCs w:val="24"/>
              </w:rPr>
              <w:t>职业院校管理水平提升行动计划</w:t>
            </w:r>
            <w:r w:rsidRPr="002356D5">
              <w:rPr>
                <w:rFonts w:ascii="Times New Roman" w:eastAsia="仿宋_GB2312" w:hAnsi="Times New Roman" w:cs="Times New Roman"/>
                <w:sz w:val="24"/>
                <w:szCs w:val="24"/>
              </w:rPr>
              <w:t>”</w:t>
            </w:r>
            <w:r w:rsidRPr="002356D5">
              <w:rPr>
                <w:rFonts w:ascii="Times New Roman" w:eastAsia="仿宋_GB2312" w:hAnsi="Times New Roman" w:cs="仿宋_GB2312" w:hint="eastAsia"/>
                <w:sz w:val="24"/>
                <w:szCs w:val="24"/>
              </w:rPr>
              <w:t>网络专栏，组织专家辅导、专题研讨等活动</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各级教育行政部门职业院校</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466"/>
          <w:jc w:val="center"/>
        </w:trPr>
        <w:tc>
          <w:tcPr>
            <w:tcW w:w="10389" w:type="dxa"/>
            <w:gridSpan w:val="4"/>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黑体" w:hAnsi="黑体" w:cs="黑体" w:hint="eastAsia"/>
                <w:sz w:val="24"/>
                <w:szCs w:val="24"/>
              </w:rPr>
              <w:t>九、督查指导到位</w:t>
            </w:r>
          </w:p>
        </w:tc>
      </w:tr>
      <w:tr w:rsidR="00E75218" w:rsidRPr="002356D5">
        <w:trPr>
          <w:trHeight w:val="55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25</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建立督查调研、情况通报、限期报告、跟踪问效等制度</w:t>
            </w:r>
          </w:p>
        </w:tc>
        <w:tc>
          <w:tcPr>
            <w:tcW w:w="2325"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E75218">
            <w:pPr>
              <w:adjustRightInd w:val="0"/>
              <w:snapToGrid w:val="0"/>
              <w:spacing w:line="240" w:lineRule="atLeast"/>
              <w:ind w:firstLineChars="500" w:firstLine="31680"/>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824"/>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26</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建立行动计划实施进展情况通报和重大问题限期整改报告制度，视情组织专项督查</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省教育厅</w:t>
            </w:r>
          </w:p>
        </w:tc>
        <w:tc>
          <w:tcPr>
            <w:tcW w:w="3764" w:type="dxa"/>
            <w:vAlign w:val="center"/>
          </w:tcPr>
          <w:p w:rsidR="00E75218" w:rsidRPr="002356D5" w:rsidRDefault="00E75218" w:rsidP="00E75218">
            <w:pPr>
              <w:adjustRightInd w:val="0"/>
              <w:snapToGrid w:val="0"/>
              <w:spacing w:line="240" w:lineRule="atLeast"/>
              <w:ind w:firstLineChars="500" w:firstLine="31680"/>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r w:rsidR="00E75218" w:rsidRPr="002356D5">
        <w:trPr>
          <w:trHeight w:val="269"/>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27</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分类遴选职业院校管理</w:t>
            </w:r>
            <w:r w:rsidRPr="002356D5">
              <w:rPr>
                <w:rFonts w:ascii="Times New Roman" w:eastAsia="仿宋_GB2312" w:hAnsi="Times New Roman" w:cs="Times New Roman"/>
                <w:sz w:val="24"/>
                <w:szCs w:val="24"/>
              </w:rPr>
              <w:t>60</w:t>
            </w:r>
            <w:r w:rsidRPr="002356D5">
              <w:rPr>
                <w:rFonts w:ascii="Times New Roman" w:eastAsia="仿宋_GB2312" w:hAnsi="Times New Roman" w:cs="仿宋_GB2312" w:hint="eastAsia"/>
                <w:sz w:val="24"/>
                <w:szCs w:val="24"/>
              </w:rPr>
              <w:t>强</w:t>
            </w:r>
          </w:p>
        </w:tc>
        <w:tc>
          <w:tcPr>
            <w:tcW w:w="2325"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委托第三方</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2018</w:t>
            </w:r>
            <w:r w:rsidRPr="002356D5">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3</w:t>
            </w:r>
            <w:r w:rsidRPr="002356D5">
              <w:rPr>
                <w:rFonts w:ascii="Times New Roman" w:eastAsia="仿宋_GB2312" w:hAnsi="Times New Roman" w:cs="仿宋_GB2312" w:hint="eastAsia"/>
                <w:sz w:val="24"/>
                <w:szCs w:val="24"/>
              </w:rPr>
              <w:t>月底前完成</w:t>
            </w:r>
          </w:p>
        </w:tc>
      </w:tr>
      <w:tr w:rsidR="00E75218" w:rsidRPr="002356D5">
        <w:trPr>
          <w:trHeight w:val="838"/>
          <w:jc w:val="center"/>
        </w:trPr>
        <w:tc>
          <w:tcPr>
            <w:tcW w:w="722"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Times New Roman"/>
                <w:sz w:val="24"/>
                <w:szCs w:val="24"/>
              </w:rPr>
              <w:t>28</w:t>
            </w:r>
          </w:p>
        </w:tc>
        <w:tc>
          <w:tcPr>
            <w:tcW w:w="3578" w:type="dxa"/>
          </w:tcPr>
          <w:p w:rsidR="00E75218" w:rsidRPr="002356D5" w:rsidRDefault="00E75218" w:rsidP="00BF3403">
            <w:pPr>
              <w:adjustRightInd w:val="0"/>
              <w:snapToGrid w:val="0"/>
              <w:spacing w:line="240" w:lineRule="atLeast"/>
              <w:jc w:val="lef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加强专家队伍建设，组织开展相关研究，跟踪行动计划的实施进展情况，并及时提供专业指导，广泛征集和宣传优秀管理案例</w:t>
            </w:r>
          </w:p>
        </w:tc>
        <w:tc>
          <w:tcPr>
            <w:tcW w:w="2325" w:type="dxa"/>
            <w:vAlign w:val="center"/>
          </w:tcPr>
          <w:p w:rsidR="00E75218" w:rsidRPr="002356D5" w:rsidRDefault="00E75218" w:rsidP="00BF3403">
            <w:pPr>
              <w:adjustRightInd w:val="0"/>
              <w:snapToGrid w:val="0"/>
              <w:spacing w:line="240" w:lineRule="atLeast"/>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各级教育行政部门</w:t>
            </w:r>
          </w:p>
        </w:tc>
        <w:tc>
          <w:tcPr>
            <w:tcW w:w="3764" w:type="dxa"/>
            <w:vAlign w:val="center"/>
          </w:tcPr>
          <w:p w:rsidR="00E75218" w:rsidRPr="002356D5" w:rsidRDefault="00E75218" w:rsidP="00BF3403">
            <w:pPr>
              <w:adjustRightInd w:val="0"/>
              <w:snapToGrid w:val="0"/>
              <w:spacing w:line="240" w:lineRule="atLeast"/>
              <w:jc w:val="center"/>
              <w:outlineLvl w:val="0"/>
              <w:rPr>
                <w:rFonts w:ascii="Times New Roman" w:eastAsia="仿宋_GB2312" w:hAnsi="Times New Roman" w:cs="Times New Roman"/>
                <w:sz w:val="24"/>
                <w:szCs w:val="24"/>
              </w:rPr>
            </w:pPr>
            <w:r w:rsidRPr="002356D5">
              <w:rPr>
                <w:rFonts w:ascii="Times New Roman" w:eastAsia="仿宋_GB2312" w:hAnsi="Times New Roman" w:cs="仿宋_GB2312" w:hint="eastAsia"/>
                <w:sz w:val="24"/>
                <w:szCs w:val="24"/>
              </w:rPr>
              <w:t>持续实施</w:t>
            </w:r>
          </w:p>
        </w:tc>
      </w:tr>
    </w:tbl>
    <w:p w:rsidR="00E75218" w:rsidRPr="002356D5" w:rsidRDefault="00E75218" w:rsidP="00772146">
      <w:pPr>
        <w:adjustRightInd w:val="0"/>
        <w:snapToGrid w:val="0"/>
        <w:spacing w:line="560" w:lineRule="exact"/>
        <w:outlineLvl w:val="0"/>
        <w:rPr>
          <w:rFonts w:ascii="Times New Roman" w:eastAsia="仿宋" w:hAnsi="Times New Roman" w:cs="Times New Roman"/>
          <w:b/>
          <w:bCs/>
          <w:sz w:val="30"/>
          <w:szCs w:val="30"/>
        </w:rPr>
      </w:pPr>
    </w:p>
    <w:p w:rsidR="00E75218" w:rsidRPr="002356D5" w:rsidRDefault="00E75218">
      <w:pPr>
        <w:rPr>
          <w:rFonts w:ascii="Times New Roman" w:hAnsi="Times New Roman" w:cs="Times New Roman"/>
        </w:rPr>
      </w:pPr>
    </w:p>
    <w:sectPr w:rsidR="00E75218" w:rsidRPr="002356D5" w:rsidSect="00A34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18" w:rsidRDefault="00E75218" w:rsidP="00772146">
      <w:pPr>
        <w:rPr>
          <w:rFonts w:cs="Times New Roman"/>
        </w:rPr>
      </w:pPr>
      <w:r>
        <w:rPr>
          <w:rFonts w:cs="Times New Roman"/>
        </w:rPr>
        <w:separator/>
      </w:r>
    </w:p>
  </w:endnote>
  <w:endnote w:type="continuationSeparator" w:id="0">
    <w:p w:rsidR="00E75218" w:rsidRDefault="00E75218" w:rsidP="007721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18" w:rsidRDefault="00E75218" w:rsidP="00772146">
      <w:pPr>
        <w:rPr>
          <w:rFonts w:cs="Times New Roman"/>
        </w:rPr>
      </w:pPr>
      <w:r>
        <w:rPr>
          <w:rFonts w:cs="Times New Roman"/>
        </w:rPr>
        <w:separator/>
      </w:r>
    </w:p>
  </w:footnote>
  <w:footnote w:type="continuationSeparator" w:id="0">
    <w:p w:rsidR="00E75218" w:rsidRDefault="00E75218" w:rsidP="0077214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146"/>
    <w:rsid w:val="00090EC5"/>
    <w:rsid w:val="000B6E86"/>
    <w:rsid w:val="000F6549"/>
    <w:rsid w:val="00110787"/>
    <w:rsid w:val="0012569F"/>
    <w:rsid w:val="001919E0"/>
    <w:rsid w:val="002356D5"/>
    <w:rsid w:val="00241EBE"/>
    <w:rsid w:val="00261394"/>
    <w:rsid w:val="002E5637"/>
    <w:rsid w:val="003131F3"/>
    <w:rsid w:val="003357DD"/>
    <w:rsid w:val="003B59C9"/>
    <w:rsid w:val="00407054"/>
    <w:rsid w:val="00464EDA"/>
    <w:rsid w:val="004C4A67"/>
    <w:rsid w:val="00541066"/>
    <w:rsid w:val="0064075A"/>
    <w:rsid w:val="00665DB8"/>
    <w:rsid w:val="00695D84"/>
    <w:rsid w:val="00722381"/>
    <w:rsid w:val="00772146"/>
    <w:rsid w:val="00815605"/>
    <w:rsid w:val="008743D6"/>
    <w:rsid w:val="008C1B7A"/>
    <w:rsid w:val="008C5682"/>
    <w:rsid w:val="008E3A4F"/>
    <w:rsid w:val="009053F0"/>
    <w:rsid w:val="009B0144"/>
    <w:rsid w:val="00A2634A"/>
    <w:rsid w:val="00A3471F"/>
    <w:rsid w:val="00A77298"/>
    <w:rsid w:val="00B07CCC"/>
    <w:rsid w:val="00B34E5A"/>
    <w:rsid w:val="00B44EBC"/>
    <w:rsid w:val="00BF3403"/>
    <w:rsid w:val="00C10701"/>
    <w:rsid w:val="00CA59A9"/>
    <w:rsid w:val="00D0133B"/>
    <w:rsid w:val="00D462FB"/>
    <w:rsid w:val="00E03928"/>
    <w:rsid w:val="00E75218"/>
    <w:rsid w:val="00E85E25"/>
    <w:rsid w:val="00EE5BFE"/>
    <w:rsid w:val="00F13E6C"/>
    <w:rsid w:val="00FD2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1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21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2146"/>
    <w:rPr>
      <w:sz w:val="18"/>
      <w:szCs w:val="18"/>
    </w:rPr>
  </w:style>
  <w:style w:type="paragraph" w:styleId="Footer">
    <w:name w:val="footer"/>
    <w:basedOn w:val="Normal"/>
    <w:link w:val="FooterChar"/>
    <w:uiPriority w:val="99"/>
    <w:semiHidden/>
    <w:rsid w:val="007721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72146"/>
    <w:rPr>
      <w:sz w:val="18"/>
      <w:szCs w:val="18"/>
    </w:rPr>
  </w:style>
  <w:style w:type="paragraph" w:styleId="BalloonText">
    <w:name w:val="Balloon Text"/>
    <w:basedOn w:val="Normal"/>
    <w:link w:val="BalloonTextChar"/>
    <w:uiPriority w:val="99"/>
    <w:semiHidden/>
    <w:rsid w:val="00722381"/>
    <w:rPr>
      <w:sz w:val="18"/>
      <w:szCs w:val="18"/>
    </w:rPr>
  </w:style>
  <w:style w:type="character" w:customStyle="1" w:styleId="BalloonTextChar">
    <w:name w:val="Balloon Text Char"/>
    <w:basedOn w:val="DefaultParagraphFont"/>
    <w:link w:val="BalloonText"/>
    <w:uiPriority w:val="99"/>
    <w:semiHidden/>
    <w:locked/>
    <w:rsid w:val="0012569F"/>
    <w:rPr>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213</Words>
  <Characters>1218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2016-02-01T01:34:00Z</cp:lastPrinted>
  <dcterms:created xsi:type="dcterms:W3CDTF">2015-09-17T02:52:00Z</dcterms:created>
  <dcterms:modified xsi:type="dcterms:W3CDTF">2016-02-25T07:55:00Z</dcterms:modified>
</cp:coreProperties>
</file>